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Anexa nr.  2 la HCNSU nr.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" w:line="268" w:lineRule="auto"/>
        <w:ind w:left="10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after="8" w:line="268" w:lineRule="auto"/>
        <w:ind w:left="10" w:hanging="10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Lista țărilor/zonelor cu risc epidemiologic ridicat, conform Hotărârii nr. 58 din 10.12.2020</w:t>
        <w:br w:type="textWrapping"/>
        <w:t xml:space="preserve"> a Comitetului Național pentru Situații de Urgență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78.0" w:type="dxa"/>
        <w:jc w:val="center"/>
        <w:tblLayout w:type="fixed"/>
        <w:tblLook w:val="0400"/>
      </w:tblPr>
      <w:tblGrid>
        <w:gridCol w:w="4101"/>
        <w:gridCol w:w="2977"/>
        <w:tblGridChange w:id="0">
          <w:tblGrid>
            <w:gridCol w:w="4101"/>
            <w:gridCol w:w="2977"/>
          </w:tblGrid>
        </w:tblGridChange>
      </w:tblGrid>
      <w:tr>
        <w:trPr>
          <w:trHeight w:val="315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Zona Galbena (carantina la domiciliu/locația declarata pentru 14 zile)</w:t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Stat/Zona/Teritoriu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Rata de incidenta cumulata la 100.000 locuitori*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Georgia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1488.6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Serbia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1450.3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Luxemburg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1199.7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Croația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1149.0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Muntenegru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1119.4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Lituania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1115.3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 Marino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1079.7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Andorra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1018.7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Slovenia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1002.3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Curaçao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824.2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Statele Unite ale Americii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784.2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Ungaria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756.2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Polinezia Franceza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732.6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702.2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686.0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Liechtenstein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641.0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Macedonia de Nord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639.7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Elveția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628.8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590.8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Jersey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574.2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570.7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Bulgaria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554.5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Palestina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552.4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Azerbaidjan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549.6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Portugalia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548.3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Iordania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535.9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Cehia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510.7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Armenia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506.5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501.0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Danemarca 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254.3</w:t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*(date publicate de ECDC miercuri 9 decembrie 2020)</w:t>
        <w:tab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** urmare a detectiei circulatiei in populatia umana a unor variante de virus Sars Cov 2 provenite de la fermele de nurci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